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F875D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1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  <w:r>
        <w:rPr>
          <w:rStyle w:val="151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  <w:t>MODELO DE PROPOSTA DE PREÇOS</w:t>
      </w:r>
    </w:p>
    <w:p w14:paraId="5A7E6A7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1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70"/>
        <w:gridCol w:w="250"/>
        <w:gridCol w:w="610"/>
        <w:gridCol w:w="1074"/>
        <w:gridCol w:w="1106"/>
        <w:gridCol w:w="190"/>
        <w:gridCol w:w="1216"/>
        <w:gridCol w:w="1134"/>
        <w:gridCol w:w="60"/>
        <w:gridCol w:w="670"/>
        <w:gridCol w:w="580"/>
        <w:gridCol w:w="540"/>
        <w:gridCol w:w="1334"/>
      </w:tblGrid>
      <w:tr w14:paraId="40FA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3D837A40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RAZÃO SOCIAL:</w:t>
            </w:r>
          </w:p>
        </w:tc>
        <w:tc>
          <w:tcPr>
            <w:tcW w:w="7904" w:type="dxa"/>
            <w:gridSpan w:val="10"/>
            <w:vAlign w:val="center"/>
          </w:tcPr>
          <w:p w14:paraId="6AAE661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74B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6" w:type="dxa"/>
            <w:vAlign w:val="center"/>
          </w:tcPr>
          <w:p w14:paraId="08E403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CNPJ:</w:t>
            </w:r>
          </w:p>
        </w:tc>
        <w:tc>
          <w:tcPr>
            <w:tcW w:w="5950" w:type="dxa"/>
            <w:gridSpan w:val="8"/>
            <w:vAlign w:val="center"/>
          </w:tcPr>
          <w:p w14:paraId="176EBD5D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DB2AE21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CEP:</w:t>
            </w:r>
          </w:p>
        </w:tc>
        <w:tc>
          <w:tcPr>
            <w:tcW w:w="2454" w:type="dxa"/>
            <w:gridSpan w:val="3"/>
            <w:vAlign w:val="center"/>
          </w:tcPr>
          <w:p w14:paraId="6AC266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426D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487B4B2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ENDEREÇO:</w:t>
            </w:r>
          </w:p>
        </w:tc>
        <w:tc>
          <w:tcPr>
            <w:tcW w:w="6030" w:type="dxa"/>
            <w:gridSpan w:val="8"/>
            <w:vAlign w:val="center"/>
          </w:tcPr>
          <w:p w14:paraId="113E21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540" w:type="dxa"/>
            <w:vAlign w:val="center"/>
          </w:tcPr>
          <w:p w14:paraId="5143CB65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Nº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:</w:t>
            </w:r>
          </w:p>
        </w:tc>
        <w:tc>
          <w:tcPr>
            <w:tcW w:w="1334" w:type="dxa"/>
            <w:vAlign w:val="center"/>
          </w:tcPr>
          <w:p w14:paraId="1F52F57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175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6" w:type="dxa"/>
            <w:gridSpan w:val="2"/>
            <w:vAlign w:val="center"/>
          </w:tcPr>
          <w:p w14:paraId="1F655382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BAIRRO:</w:t>
            </w:r>
          </w:p>
        </w:tc>
        <w:tc>
          <w:tcPr>
            <w:tcW w:w="4446" w:type="dxa"/>
            <w:gridSpan w:val="6"/>
            <w:vAlign w:val="center"/>
          </w:tcPr>
          <w:p w14:paraId="33502C4B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49B7C8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CIDADE:</w:t>
            </w:r>
          </w:p>
        </w:tc>
        <w:tc>
          <w:tcPr>
            <w:tcW w:w="3124" w:type="dxa"/>
            <w:gridSpan w:val="4"/>
            <w:vAlign w:val="center"/>
          </w:tcPr>
          <w:p w14:paraId="17C108FE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A1F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6" w:type="dxa"/>
            <w:gridSpan w:val="3"/>
            <w:vAlign w:val="center"/>
          </w:tcPr>
          <w:p w14:paraId="55EFDCD4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TELEFONE:</w:t>
            </w:r>
          </w:p>
        </w:tc>
        <w:tc>
          <w:tcPr>
            <w:tcW w:w="2980" w:type="dxa"/>
            <w:gridSpan w:val="4"/>
            <w:vAlign w:val="center"/>
          </w:tcPr>
          <w:p w14:paraId="0759CBE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216" w:type="dxa"/>
            <w:vAlign w:val="center"/>
          </w:tcPr>
          <w:p w14:paraId="0999D5E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E-MAIL:</w:t>
            </w:r>
          </w:p>
        </w:tc>
        <w:tc>
          <w:tcPr>
            <w:tcW w:w="4318" w:type="dxa"/>
            <w:gridSpan w:val="6"/>
            <w:vAlign w:val="center"/>
          </w:tcPr>
          <w:p w14:paraId="2122C75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E2A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96" w:type="dxa"/>
            <w:gridSpan w:val="6"/>
            <w:vAlign w:val="center"/>
          </w:tcPr>
          <w:p w14:paraId="5B0A17D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RESPONSÁVEL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 xml:space="preserve"> PELO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ORÇAMENTO:</w:t>
            </w:r>
          </w:p>
        </w:tc>
        <w:tc>
          <w:tcPr>
            <w:tcW w:w="5724" w:type="dxa"/>
            <w:gridSpan w:val="8"/>
            <w:vAlign w:val="center"/>
          </w:tcPr>
          <w:p w14:paraId="65DD30E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13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190" w:type="dxa"/>
            <w:gridSpan w:val="5"/>
            <w:vAlign w:val="center"/>
          </w:tcPr>
          <w:p w14:paraId="3188C75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VALIDADE DA PROPOSTA:</w:t>
            </w:r>
          </w:p>
        </w:tc>
        <w:tc>
          <w:tcPr>
            <w:tcW w:w="6830" w:type="dxa"/>
            <w:gridSpan w:val="9"/>
            <w:vAlign w:val="center"/>
          </w:tcPr>
          <w:p w14:paraId="06E46E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1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</w:tbl>
    <w:p w14:paraId="01FAA35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1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"/>
        <w:tblW w:w="10045" w:type="dxa"/>
        <w:tblInd w:w="-64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641"/>
        <w:gridCol w:w="4874"/>
        <w:gridCol w:w="990"/>
        <w:gridCol w:w="780"/>
        <w:gridCol w:w="1365"/>
        <w:gridCol w:w="1395"/>
      </w:tblGrid>
      <w:tr w14:paraId="542C406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A9F5EF5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I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tem</w:t>
            </w:r>
          </w:p>
        </w:tc>
        <w:tc>
          <w:tcPr>
            <w:tcW w:w="4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9D5B967">
            <w:pPr>
              <w:spacing w:line="100" w:lineRule="atLeast"/>
              <w:ind w:left="0" w:leftChars="0" w:right="0" w:rightChars="0" w:firstLine="851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D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escrição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E8A958E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Métrica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5C99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Qde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927C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Unit.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989F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Total</w:t>
            </w:r>
          </w:p>
        </w:tc>
      </w:tr>
      <w:tr w14:paraId="5461633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332F89B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01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18CF91B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Açúcar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,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composto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grãos cristalizados e brancos,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produzido a partir da cana-de-açúcar,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embalagem de 5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(cinco) k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g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.</w:t>
            </w:r>
          </w:p>
          <w:p w14:paraId="02EDA738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12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(doze)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meses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B62A65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Und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2AD1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45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7D35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E3C1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7040D21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12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E2CDCF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02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F227945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Adoçante liquido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,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a base de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stévia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,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com bico dosador,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embalagem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100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ml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.</w:t>
            </w:r>
          </w:p>
          <w:p w14:paraId="62143962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12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(doze)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meses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84343E2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Und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43A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05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F2B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00E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2060F9C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204232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03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5EE9A8D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Água mineral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,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com gás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, armazenada em garrafa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P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et de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500 ml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.</w:t>
            </w:r>
          </w:p>
          <w:p w14:paraId="672F2A8F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90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(noventa)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dias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7A06FD2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Und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868B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1700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AFF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3284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5CC77E2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BF925C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04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FE0CBCE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Água mineral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,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sem gás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, armazenada em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garrafa 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P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et de 500 ml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.</w:t>
            </w:r>
          </w:p>
          <w:p w14:paraId="2FD22B2C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180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(cento e oitenta)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dias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64688B5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Und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880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2500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CB3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3092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5C2A0F0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1019EBB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05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4DEA35E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Água Mineral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,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sem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gás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, armazenada em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copo plástico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de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2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00 ml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, embalado em caixa com 48 (quarenta e oito) unidades.</w:t>
            </w:r>
          </w:p>
          <w:p w14:paraId="646BD49D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90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(noventa)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dias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505B92A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Cx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867B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50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9216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FD1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2378E3F2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7F04DCA6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6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CEE4ED4">
            <w:pPr>
              <w:spacing w:line="100" w:lineRule="atLeast"/>
              <w:ind w:left="0" w:lef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Café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,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torrado e moído, classificado como café especial ou superior,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embalagem de 500 g,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com pontuação mínima de 80 pontos em avaliação sensorial conforme metodologia da SCA ou ou metodologia equivalente reconhecida, livre de defeitos graves, com torra média ou média-clara, homogênea, data de torra máxima de 90 dias, acondicionado em embalagem aluminizada com válvula desgaseificadora, devidamente lacrada e identificada.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180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(cento e oitenta)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dias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334C20A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Und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82F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360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348F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4D5F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01E72D7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6F100BF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7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0B6B452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Chá mate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,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a granel,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composto por erva mate tostado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(llex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paraguariensis), sem glúten,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embalagem 250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g. 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12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(doze)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meses na data da entrega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127026A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Und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DF7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70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75FE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D35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1219F68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204400DB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08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858C2D4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Leite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,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integral UHT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, homogeneizado, com teor mínimo de gordura de 3,0%, acondicionado em embalagem tipo Tetra Pak, com capacidade de 1 litro, hermeticamente fechada, estável à temperatura ambiente, contendo identificação de lote, data de fabricação e validade, em conformidade com a legislação sanitária vigente.</w:t>
            </w:r>
          </w:p>
          <w:p w14:paraId="168559FC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Com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validade mínima de 90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(noventa)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dias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998DAAE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Und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D175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480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FB8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860F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7650D406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13BD482A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9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1A92468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highlight w:val="none"/>
              </w:rPr>
              <w:t>Leite semidesnatado UHT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 zero lactose,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com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teor mínimo de gordura de 3,0%,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acondicionado em embalagem tipo Tetra Pak, com capacidade de 1 litro, hermeticamente fechada, estável à temperatura ambiente, contendo identificação de lote, data de fabricação e validade, em conformidade com a legislação sanitária vigente.</w:t>
            </w:r>
          </w:p>
          <w:p w14:paraId="59BA50E6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Com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validade mínima de 90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(noventa)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dias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F6A3BA2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Und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07AA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70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602B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CF0F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6C955C3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1B41B9E2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10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E8FD7A3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Manteiga extra, com sal,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embalagem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de 20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 g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.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Com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validade mínima de 90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(noventa)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dias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D80071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Und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F90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200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14F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CAA3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7F7E5557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054D340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11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1A69D3F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Achocolatado em pó instantâneo,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com teor mínimo de cacau de 30%, de fácil e completa dissolução em leite frio ou quente, sem formação de grumos, livre de corantes artificiais, acondicionado em embalagem hermética aluminizada com 400 g. 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180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(cento e oitenta)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dias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5B9C6C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Und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6779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60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BC5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0D1F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1B2CBE7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740932E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12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09A7A4E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Biscoito amanteigado,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sabor leite, com embalagem com 330 g.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180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(cento e oitenta)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dias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9C0F99F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Und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62FE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60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0F84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CD3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4A904289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1C499E11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13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5083E4B0">
            <w:pPr>
              <w:spacing w:line="100" w:lineRule="atLeast"/>
              <w:ind w:left="0" w:lef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Biscoito maisena, tradicional,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embalagem com 350 g.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180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(cento e oitenta)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dias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091B2FE2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Und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760B995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60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18B1EADE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1823FC9A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20C2F2B9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721562E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14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4841C454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Biscoito agua e sal , tipo Cream Cracker, tradicional,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com embalagem de 350 g.  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180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(cento e oitenta)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dias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727CB08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Pc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4C311D7A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60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670BB24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1232A19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67178F8E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00D0F3E4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15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1C79E8D4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highlight w:val="none"/>
              </w:rPr>
              <w:t>Sal refinado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iodado, branco, com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>pureza mínima de 99,3% de cloreto de sódio, isento de contaminantes visíveis e com granulometria uniforme, embalado em pacotes de 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>kg em material plástico resistente e hermeticamente fechado, com registro no Ministério da Saúde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.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02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(dois) anos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40D10966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Und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2C72A4EF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12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73D22CCE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1E7A662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14C4847D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105C72E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16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20DB0FE2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highlight w:val="none"/>
              </w:rPr>
              <w:t>Pó para refresco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 xml:space="preserve"> não dietético, adoçado, com teor mínimo de 1% de suco, polpa ou extrato de fruta, de fácil dissolução, apresentando sabor e coloração característicos do fruto, com rendimento mínimo de 1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(um)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>litro por unidade,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sabor M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highlight w:val="none"/>
              </w:rPr>
              <w:t>aracujá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. Caixa com 15 (quinze) envelopes de 18 g cada.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01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(um) anos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50946CD6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Cx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1C78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lang w:val="pt-BR" w:eastAsia="hi-I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05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BE26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430E4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409DF72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3C6BD4B4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17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2DDB7024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highlight w:val="none"/>
              </w:rPr>
              <w:t>Pó para refresco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 xml:space="preserve"> não dietético, adoçado, com teor mínimo de 1% de suco, polpa ou extrato de fruta, de fácil dissolução, apresentando sabor e coloração característicos do fruto, com rendimento mínimo de 1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(um)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>litro por unidade,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sabor Limão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. Caixa com 15 (quinze) envelopes de 18 g cada.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01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(um) anos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1EF291BA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Cx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C591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lang w:val="pt-BR" w:eastAsia="hi-I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05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4E26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4E4D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45CD681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337D395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18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0488594C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highlight w:val="none"/>
              </w:rPr>
              <w:t>Pó para refresco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 xml:space="preserve"> não dietético, adoçado, com teor mínimo de 1% de suco, polpa ou extrato de fruta, de fácil dissolução, apresentando sabor e coloração característicos do fruto, com rendimento mínimo de 1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(um)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>litro por unidade,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sabor Laranja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. Caixa com 15 (quinze) envelopes de 18 g cada.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01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(um) anos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2BE84BF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Cx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9AC5B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lang w:val="pt-BR" w:eastAsia="hi-I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05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DA2F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4C32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4195DC02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5DB1CADA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19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6A371EE0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highlight w:val="none"/>
              </w:rPr>
              <w:t>Pó para refresco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 xml:space="preserve"> não dietético, adoçado, com teor mínimo de 1% de suco, polpa ou extrato de fruta, de fácil dissolução, apresentando sabor e coloração característicos do fruto, com rendimento mínimo de 1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(um)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>litro por unidade,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sabor Uva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. Caixa com 15 (quinze) envelopes de 18 g cada.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01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(um) anos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08D71EA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Cx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50B1F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lang w:val="pt-BR" w:eastAsia="hi-I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05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585B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4771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0DDEE5C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36513FF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20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070A8E4E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highlight w:val="none"/>
              </w:rPr>
              <w:t>Pó para refresco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 xml:space="preserve"> não dietético, adoçado, com teor mínimo de 1% de suco, polpa ou extrato de fruta, de fácil dissolução, apresentando sabor e coloração característicos do fruto, com rendimento mínimo de 1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(um)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>litro por unidade,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sabor Tangerina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. Caixa com 15 (quinze) envelopes de 18 g cada.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01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(um) anos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48BD3E2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Cx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56FA4E4E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05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739D29E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3B134301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17E0DAF6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1661AD4B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21</w:t>
            </w:r>
          </w:p>
        </w:tc>
        <w:tc>
          <w:tcPr>
            <w:tcW w:w="487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0DC3B76F">
            <w:pPr>
              <w:spacing w:line="1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highlight w:val="none"/>
              </w:rPr>
              <w:t>Pó para refresco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 xml:space="preserve"> não dietético, adoçado, com teor mínimo de 1% de suco, polpa ou extrato de fruta, de fácil dissolução, apresentando sabor e coloração característicos do fruto, com rendimento mínimo de 1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(um)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>litro por unidade,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sabor Manga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. Caixa com 15 (quinze) envelopes de 18 g cada.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om validade mínima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01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(um) anos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a partir da data de 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entrega.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212A6BC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Cx</w:t>
            </w:r>
          </w:p>
        </w:tc>
        <w:tc>
          <w:tcPr>
            <w:tcW w:w="7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A4A7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lang w:val="pt-BR" w:eastAsia="hi-I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05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1771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3FCD9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6D15A9B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7285" w:type="dxa"/>
            <w:gridSpan w:val="4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7257171F">
            <w:pPr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Valor Total da Proposta de Preços: R$</w:t>
            </w:r>
          </w:p>
        </w:tc>
        <w:tc>
          <w:tcPr>
            <w:tcW w:w="2760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231B6">
            <w:pPr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</w:tbl>
    <w:p w14:paraId="7A994F4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1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1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</w:p>
    <w:p w14:paraId="3E206B0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708" w:firstLineChars="0"/>
        <w:jc w:val="both"/>
        <w:textAlignment w:val="baseline"/>
        <w:rPr>
          <w:rStyle w:val="151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1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Responsável:</w:t>
      </w:r>
    </w:p>
    <w:p w14:paraId="391EE5D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1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1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1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Empresa:</w:t>
      </w:r>
    </w:p>
    <w:p w14:paraId="0E1BEBC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1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1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1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CNPJ:</w:t>
      </w:r>
    </w:p>
    <w:p w14:paraId="54887F1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</w:pPr>
      <w:r>
        <w:rPr>
          <w:rStyle w:val="151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1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Carimbo CNPJ:</w:t>
      </w:r>
    </w:p>
    <w:sectPr>
      <w:pgSz w:w="11906" w:h="16838"/>
      <w:pgMar w:top="1134" w:right="850" w:bottom="1134" w:left="1134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3713F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06F3713F"/>
    <w:rsid w:val="12D329D6"/>
    <w:rsid w:val="57343EB1"/>
    <w:rsid w:val="5FFC06A9"/>
    <w:rsid w:val="617F76F8"/>
    <w:rsid w:val="65C945F5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hd w:val="clear" w:fill="auto"/>
      <w:suppressAutoHyphens w:val="0"/>
      <w:kinsoku/>
      <w:overflowPunct/>
      <w:autoSpaceDE/>
      <w:bidi w:val="0"/>
      <w:snapToGrid/>
      <w:spacing w:line="240" w:lineRule="auto"/>
      <w:jc w:val="left"/>
      <w:textAlignment w:val="baseline"/>
    </w:pPr>
    <w:rPr>
      <w:rFonts w:ascii="Liberation Serif" w:hAnsi="Liberation Serif" w:eastAsia="NSimSun" w:cs="Arial"/>
      <w:color w:val="auto"/>
      <w:spacing w:val="0"/>
      <w:w w:val="100"/>
      <w:kern w:val="2"/>
      <w:position w:val="0"/>
      <w:sz w:val="24"/>
      <w:szCs w:val="24"/>
      <w:u w:val="none"/>
      <w:shd w:val="clear" w:fill="auto"/>
      <w:vertAlign w:val="baseline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uiPriority w:val="0"/>
    <w:pPr>
      <w:numPr>
        <w:ilvl w:val="0"/>
        <w:numId w:val="2"/>
      </w:numPr>
    </w:pPr>
  </w:style>
  <w:style w:type="paragraph" w:styleId="48">
    <w:name w:val="Normal (Web)"/>
    <w:basedOn w:val="1"/>
    <w:qFormat/>
    <w:uiPriority w:val="0"/>
    <w:rPr>
      <w:szCs w:val="24"/>
    </w:r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1">
    <w:name w:val="Salutation"/>
    <w:basedOn w:val="1"/>
    <w:next w:val="1"/>
    <w:uiPriority w:val="0"/>
  </w:style>
  <w:style w:type="paragraph" w:styleId="52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qFormat/>
    <w:uiPriority w:val="0"/>
    <w:pPr>
      <w:ind w:left="1200" w:leftChars="1200"/>
    </w:pPr>
  </w:style>
  <w:style w:type="paragraph" w:styleId="54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qFormat/>
    <w:uiPriority w:val="0"/>
    <w:pPr>
      <w:ind w:left="1260" w:leftChars="600"/>
    </w:pPr>
  </w:style>
  <w:style w:type="paragraph" w:styleId="56">
    <w:name w:val="List Continue"/>
    <w:basedOn w:val="1"/>
    <w:qFormat/>
    <w:uiPriority w:val="0"/>
    <w:pPr>
      <w:spacing w:after="120"/>
      <w:ind w:left="283"/>
    </w:pPr>
  </w:style>
  <w:style w:type="paragraph" w:styleId="57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qFormat/>
    <w:uiPriority w:val="0"/>
    <w:pPr>
      <w:ind w:left="2940" w:leftChars="1400"/>
    </w:pPr>
  </w:style>
  <w:style w:type="paragraph" w:styleId="5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qFormat/>
    <w:uiPriority w:val="0"/>
    <w:pPr>
      <w:ind w:left="4252"/>
    </w:pPr>
  </w:style>
  <w:style w:type="paragraph" w:styleId="61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3">
    <w:name w:val="index heading"/>
    <w:basedOn w:val="1"/>
    <w:next w:val="64"/>
    <w:qFormat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qFormat/>
    <w:uiPriority w:val="0"/>
  </w:style>
  <w:style w:type="paragraph" w:styleId="65">
    <w:name w:val="Body Text 2"/>
    <w:basedOn w:val="1"/>
    <w:qFormat/>
    <w:uiPriority w:val="0"/>
    <w:pPr>
      <w:spacing w:after="120" w:line="480" w:lineRule="auto"/>
    </w:pPr>
  </w:style>
  <w:style w:type="paragraph" w:styleId="6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8">
    <w:name w:val="index 6"/>
    <w:basedOn w:val="1"/>
    <w:next w:val="1"/>
    <w:qFormat/>
    <w:uiPriority w:val="0"/>
    <w:pPr>
      <w:ind w:left="1000" w:leftChars="1000"/>
    </w:pPr>
  </w:style>
  <w:style w:type="paragraph" w:styleId="69">
    <w:name w:val="index 9"/>
    <w:basedOn w:val="1"/>
    <w:next w:val="1"/>
    <w:qFormat/>
    <w:uiPriority w:val="0"/>
    <w:pPr>
      <w:ind w:left="1600" w:leftChars="1600"/>
    </w:pPr>
  </w:style>
  <w:style w:type="paragraph" w:styleId="70">
    <w:name w:val="annotation subject"/>
    <w:basedOn w:val="38"/>
    <w:next w:val="38"/>
    <w:qFormat/>
    <w:uiPriority w:val="0"/>
    <w:rPr>
      <w:b/>
      <w:bCs/>
    </w:rPr>
  </w:style>
  <w:style w:type="paragraph" w:styleId="71">
    <w:name w:val="List Continue 3"/>
    <w:basedOn w:val="1"/>
    <w:qFormat/>
    <w:uiPriority w:val="0"/>
    <w:pPr>
      <w:spacing w:after="120"/>
      <w:ind w:left="849"/>
    </w:pPr>
  </w:style>
  <w:style w:type="paragraph" w:styleId="72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qFormat/>
    <w:uiPriority w:val="0"/>
    <w:rPr>
      <w:i/>
      <w:iCs/>
    </w:rPr>
  </w:style>
  <w:style w:type="paragraph" w:styleId="74">
    <w:name w:val="index 4"/>
    <w:basedOn w:val="1"/>
    <w:next w:val="1"/>
    <w:qFormat/>
    <w:uiPriority w:val="0"/>
    <w:pPr>
      <w:ind w:left="600" w:leftChars="600"/>
    </w:pPr>
  </w:style>
  <w:style w:type="paragraph" w:styleId="7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qFormat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qFormat/>
    <w:uiPriority w:val="0"/>
    <w:pPr>
      <w:ind w:left="2520" w:leftChars="1200"/>
    </w:pPr>
  </w:style>
  <w:style w:type="paragraph" w:styleId="79">
    <w:name w:val="List Continue 2"/>
    <w:basedOn w:val="1"/>
    <w:qFormat/>
    <w:uiPriority w:val="0"/>
    <w:pPr>
      <w:spacing w:after="120"/>
      <w:ind w:left="566"/>
    </w:pPr>
  </w:style>
  <w:style w:type="paragraph" w:styleId="80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qFormat/>
    <w:uiPriority w:val="0"/>
    <w:pPr>
      <w:ind w:left="849" w:hanging="283"/>
    </w:pPr>
  </w:style>
  <w:style w:type="paragraph" w:styleId="82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qFormat/>
    <w:uiPriority w:val="0"/>
    <w:pPr>
      <w:ind w:left="420" w:leftChars="200"/>
    </w:pPr>
  </w:style>
  <w:style w:type="paragraph" w:styleId="84">
    <w:name w:val="Date"/>
    <w:basedOn w:val="1"/>
    <w:next w:val="1"/>
    <w:qFormat/>
    <w:uiPriority w:val="0"/>
  </w:style>
  <w:style w:type="paragraph" w:styleId="85">
    <w:name w:val="toc 3"/>
    <w:basedOn w:val="1"/>
    <w:next w:val="1"/>
    <w:qFormat/>
    <w:uiPriority w:val="0"/>
    <w:pPr>
      <w:ind w:left="840" w:leftChars="400"/>
    </w:pPr>
  </w:style>
  <w:style w:type="paragraph" w:styleId="86">
    <w:name w:val="List 5"/>
    <w:basedOn w:val="1"/>
    <w:qFormat/>
    <w:uiPriority w:val="0"/>
    <w:pPr>
      <w:ind w:left="1415" w:hanging="283"/>
    </w:pPr>
  </w:style>
  <w:style w:type="paragraph" w:styleId="87">
    <w:name w:val="Closing"/>
    <w:basedOn w:val="1"/>
    <w:qFormat/>
    <w:uiPriority w:val="0"/>
    <w:pPr>
      <w:ind w:left="4252"/>
    </w:pPr>
  </w:style>
  <w:style w:type="paragraph" w:styleId="88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89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0">
    <w:name w:val="E-mail Signature"/>
    <w:basedOn w:val="1"/>
    <w:qFormat/>
    <w:uiPriority w:val="0"/>
  </w:style>
  <w:style w:type="paragraph" w:styleId="91">
    <w:name w:val="Balloon Text"/>
    <w:basedOn w:val="1"/>
    <w:qFormat/>
    <w:uiPriority w:val="0"/>
    <w:rPr>
      <w:sz w:val="16"/>
      <w:szCs w:val="16"/>
    </w:rPr>
  </w:style>
  <w:style w:type="paragraph" w:styleId="92">
    <w:name w:val="List Continue 4"/>
    <w:basedOn w:val="1"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qFormat/>
    <w:uiPriority w:val="0"/>
    <w:pPr>
      <w:ind w:left="400" w:leftChars="400"/>
    </w:pPr>
  </w:style>
  <w:style w:type="paragraph" w:styleId="95">
    <w:name w:val="List 2"/>
    <w:basedOn w:val="1"/>
    <w:qFormat/>
    <w:uiPriority w:val="0"/>
    <w:pPr>
      <w:ind w:left="566" w:hanging="283"/>
    </w:pPr>
  </w:style>
  <w:style w:type="paragraph" w:styleId="9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uiPriority w:val="0"/>
    <w:pPr>
      <w:numPr>
        <w:ilvl w:val="0"/>
        <w:numId w:val="8"/>
      </w:numPr>
    </w:pPr>
  </w:style>
  <w:style w:type="paragraph" w:styleId="98">
    <w:name w:val="Normal Indent"/>
    <w:basedOn w:val="1"/>
    <w:uiPriority w:val="0"/>
    <w:pPr>
      <w:ind w:left="708"/>
    </w:pPr>
  </w:style>
  <w:style w:type="paragraph" w:styleId="99">
    <w:name w:val="index 5"/>
    <w:basedOn w:val="1"/>
    <w:next w:val="1"/>
    <w:qFormat/>
    <w:uiPriority w:val="0"/>
    <w:pPr>
      <w:ind w:left="800" w:leftChars="800"/>
    </w:pPr>
  </w:style>
  <w:style w:type="paragraph" w:styleId="100">
    <w:name w:val="toc 1"/>
    <w:basedOn w:val="1"/>
    <w:next w:val="1"/>
    <w:qFormat/>
    <w:uiPriority w:val="0"/>
  </w:style>
  <w:style w:type="paragraph" w:styleId="101">
    <w:name w:val="List Continue 5"/>
    <w:basedOn w:val="1"/>
    <w:qFormat/>
    <w:uiPriority w:val="0"/>
    <w:pPr>
      <w:spacing w:after="120"/>
      <w:ind w:left="1415"/>
    </w:pPr>
  </w:style>
  <w:style w:type="paragraph" w:styleId="102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3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4">
    <w:name w:val="Body Text First Indent"/>
    <w:basedOn w:val="35"/>
    <w:qFormat/>
    <w:uiPriority w:val="0"/>
    <w:pPr>
      <w:ind w:firstLine="210"/>
    </w:pPr>
  </w:style>
  <w:style w:type="paragraph" w:styleId="105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qFormat/>
    <w:uiPriority w:val="0"/>
  </w:style>
  <w:style w:type="table" w:styleId="107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1">
    <w:name w:val="Fonte parág. padrão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2026-01-21T18:55:00Z</dcterms:created>
  <dc:creator>Compras4</dc:creator>
  <cp:lastModifiedBy>Compras4</cp:lastModifiedBy>
  <dcterms:modified xsi:type="dcterms:W3CDTF">2026-01-29T17:20:11Z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29E22E7EDE4E463E969F2C98E4937DC7_11</vt:lpwstr>
  </property>
</Properties>
</file>